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LBGBT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gender-neutral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antagonists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signalling,"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net-zero.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whistleblow.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whistleblowing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disenfranchise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x-ray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intrusive?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quizzed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gender-neutral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cubicle.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taxpayers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pupils.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 Jackman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taxpayers'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insignificance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Rees-Mogg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Humperdinck.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Jacob Rees-Mogg Debates ESG, the NHS, and trans ... (Completed  08/29/23)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29,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nj4s4rn65Zb4aJqNMoaXiVYMf4NjRWfH6RMMaXR0zEPMwTVlxaYMuBV8UFs0wVmLlZWLoUl3JGr3wO0jpQctuMqKge4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